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Style w:val="7"/>
          <w:rFonts w:hint="eastAsia" w:ascii="方正中粗雅宋简体" w:hAnsi="方正中粗雅宋简体" w:eastAsia="方正中粗雅宋简体" w:cs="Arial"/>
          <w:bCs/>
          <w:kern w:val="0"/>
          <w:sz w:val="36"/>
          <w:szCs w:val="36"/>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eastAsia="zh-CN"/>
        </w:rPr>
      </w:pPr>
      <w:r>
        <w:rPr>
          <w:rFonts w:hint="eastAsia" w:ascii="方正小标宋简体" w:hAnsi="宋体" w:eastAsia="方正小标宋简体" w:cs="宋体"/>
          <w:b w:val="0"/>
          <w:bCs/>
          <w:sz w:val="44"/>
          <w:szCs w:val="44"/>
          <w:lang w:val="en-US" w:eastAsia="zh-CN"/>
        </w:rPr>
        <w:t>平顶山市</w:t>
      </w:r>
      <w:r>
        <w:rPr>
          <w:rFonts w:hint="eastAsia" w:ascii="方正小标宋简体" w:hAnsi="宋体" w:eastAsia="方正小标宋简体" w:cs="宋体"/>
          <w:b w:val="0"/>
          <w:bCs/>
          <w:sz w:val="44"/>
          <w:szCs w:val="44"/>
        </w:rPr>
        <w:t>石龙区</w:t>
      </w:r>
      <w:r>
        <w:rPr>
          <w:rFonts w:hint="eastAsia" w:ascii="方正小标宋简体" w:hAnsi="宋体" w:eastAsia="方正小标宋简体" w:cs="宋体"/>
          <w:b w:val="0"/>
          <w:bCs/>
          <w:sz w:val="44"/>
          <w:szCs w:val="44"/>
          <w:lang w:eastAsia="zh-CN"/>
        </w:rPr>
        <w:t>市场监督管理局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rPr>
        <w:t>20</w:t>
      </w:r>
      <w:r>
        <w:rPr>
          <w:rFonts w:hint="eastAsia" w:ascii="方正小标宋简体" w:hAnsi="宋体" w:eastAsia="方正小标宋简体" w:cs="宋体"/>
          <w:b w:val="0"/>
          <w:bCs/>
          <w:sz w:val="44"/>
          <w:szCs w:val="44"/>
          <w:lang w:val="en-US" w:eastAsia="zh-CN"/>
        </w:rPr>
        <w:t>19</w:t>
      </w:r>
      <w:r>
        <w:rPr>
          <w:rFonts w:hint="eastAsia" w:ascii="方正小标宋简体" w:hAnsi="宋体" w:eastAsia="方正小标宋简体" w:cs="宋体"/>
          <w:b w:val="0"/>
          <w:bCs/>
          <w:sz w:val="44"/>
          <w:szCs w:val="44"/>
        </w:rPr>
        <w:t>年部门预算</w:t>
      </w:r>
      <w:r>
        <w:rPr>
          <w:rFonts w:hint="eastAsia" w:ascii="方正小标宋简体" w:hAnsi="宋体" w:eastAsia="方正小标宋简体" w:cs="宋体"/>
          <w:b w:val="0"/>
          <w:bCs/>
          <w:sz w:val="44"/>
          <w:szCs w:val="44"/>
          <w:lang w:val="en-US" w:eastAsia="zh-CN"/>
        </w:rPr>
        <w:t>公开</w:t>
      </w: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方正小标宋简体" w:hAnsi="宋体" w:eastAsia="方正小标宋简体" w:cs="宋体"/>
          <w:b/>
          <w:sz w:val="44"/>
          <w:szCs w:val="44"/>
        </w:rPr>
      </w:pPr>
    </w:p>
    <w:p>
      <w:pPr>
        <w:spacing w:line="600" w:lineRule="exact"/>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w:t>
      </w:r>
      <w:r>
        <w:rPr>
          <w:rFonts w:hint="eastAsia" w:ascii="宋体" w:hAnsi="宋体" w:cs="宋体"/>
          <w:b w:val="0"/>
          <w:bCs/>
          <w:sz w:val="32"/>
          <w:szCs w:val="32"/>
          <w:lang w:val="en-US" w:eastAsia="zh-CN"/>
        </w:rPr>
        <w:t>19</w:t>
      </w:r>
      <w:r>
        <w:rPr>
          <w:rFonts w:hint="eastAsia" w:ascii="宋体" w:hAnsi="宋体" w:eastAsia="宋体" w:cs="宋体"/>
          <w:b w:val="0"/>
          <w:bCs/>
          <w:sz w:val="32"/>
          <w:szCs w:val="32"/>
          <w:lang w:val="en-US" w:eastAsia="zh-CN"/>
        </w:rPr>
        <w:t>年4月</w:t>
      </w:r>
    </w:p>
    <w:p>
      <w:pPr>
        <w:spacing w:line="600" w:lineRule="exact"/>
        <w:jc w:val="center"/>
        <w:rPr>
          <w:rFonts w:hint="eastAsia" w:ascii="仿宋_GB2312" w:hAnsi="仿宋" w:eastAsia="仿宋_GB2312" w:cs="仿宋"/>
          <w:b/>
          <w:bCs/>
          <w:kern w:val="0"/>
          <w:sz w:val="32"/>
          <w:szCs w:val="32"/>
        </w:rPr>
      </w:pPr>
    </w:p>
    <w:p>
      <w:pPr>
        <w:pStyle w:val="12"/>
        <w:widowControl/>
        <w:wordWrap/>
        <w:adjustRightInd/>
        <w:snapToGrid/>
        <w:spacing w:before="0" w:beforeAutospacing="0" w:after="0" w:afterAutospacing="0" w:line="560" w:lineRule="exact"/>
        <w:jc w:val="center"/>
        <w:textAlignment w:val="auto"/>
        <w:rPr>
          <w:rStyle w:val="7"/>
          <w:rFonts w:hint="eastAsia" w:ascii="宋体" w:hAnsi="宋体" w:eastAsia="宋体" w:cs="宋体"/>
          <w:color w:val="666666"/>
          <w:sz w:val="44"/>
          <w:szCs w:val="44"/>
          <w:shd w:val="clear" w:color="auto" w:fill="FFFFFF"/>
        </w:rPr>
      </w:pPr>
    </w:p>
    <w:p>
      <w:pPr>
        <w:jc w:val="both"/>
        <w:rPr>
          <w:rStyle w:val="7"/>
          <w:rFonts w:hint="eastAsia" w:ascii="方正中粗雅宋简体" w:hAnsi="方正中粗雅宋简体" w:eastAsia="方正中粗雅宋简体" w:cs="Arial"/>
          <w:kern w:val="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目　录</w:t>
      </w:r>
    </w:p>
    <w:p>
      <w:pPr>
        <w:jc w:val="center"/>
        <w:rPr>
          <w:rFonts w:hint="eastAsia" w:ascii="方正小标宋_GBK" w:hAnsi="宋体" w:eastAsia="方正小标宋_GBK"/>
          <w:bCs/>
          <w:sz w:val="44"/>
          <w:szCs w:val="44"/>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第一部分　部门预算基本概况</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一、部门机构设置情况</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二、主要职责</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第二部分　2019年度部门预算情况说明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第三部分　名词解释</w:t>
      </w:r>
    </w:p>
    <w:p>
      <w:pPr>
        <w:ind w:firstLine="640" w:firstLineChars="200"/>
        <w:rPr>
          <w:rFonts w:hint="eastAsia" w:ascii="仿宋_GB2312" w:hAnsi="仿宋_GB2312" w:eastAsia="仿宋_GB2312" w:cs="仿宋_GB2312"/>
          <w:b w:val="0"/>
          <w:bCs/>
          <w:sz w:val="32"/>
          <w:szCs w:val="32"/>
        </w:rPr>
      </w:pPr>
      <w:bookmarkStart w:id="0" w:name="_GoBack"/>
      <w:bookmarkEnd w:id="0"/>
      <w:r>
        <w:rPr>
          <w:rFonts w:hint="eastAsia" w:ascii="黑体" w:hAnsi="黑体" w:eastAsia="黑体"/>
          <w:b w:val="0"/>
          <w:bCs/>
          <w:sz w:val="32"/>
          <w:szCs w:val="32"/>
        </w:rPr>
        <w:t>附件：平顶山市</w:t>
      </w:r>
      <w:r>
        <w:rPr>
          <w:rFonts w:hint="eastAsia" w:ascii="黑体" w:hAnsi="黑体" w:eastAsia="黑体" w:cs="Times New Roman"/>
          <w:b w:val="0"/>
          <w:bCs/>
          <w:sz w:val="32"/>
          <w:szCs w:val="32"/>
          <w:lang w:eastAsia="zh-CN"/>
        </w:rPr>
        <w:t>石</w:t>
      </w:r>
      <w:r>
        <w:rPr>
          <w:rFonts w:hint="eastAsia" w:ascii="黑体" w:hAnsi="黑体" w:eastAsia="黑体"/>
          <w:b w:val="0"/>
          <w:bCs/>
          <w:sz w:val="32"/>
          <w:szCs w:val="32"/>
          <w:lang w:eastAsia="zh-CN"/>
        </w:rPr>
        <w:t>龙区市场监督管理局</w:t>
      </w:r>
      <w:r>
        <w:rPr>
          <w:rFonts w:hint="eastAsia" w:ascii="黑体" w:hAnsi="黑体" w:eastAsia="黑体"/>
          <w:b w:val="0"/>
          <w:bCs/>
          <w:sz w:val="32"/>
          <w:szCs w:val="32"/>
        </w:rPr>
        <w:t>202</w:t>
      </w:r>
      <w:r>
        <w:rPr>
          <w:rFonts w:hint="eastAsia" w:ascii="黑体" w:hAnsi="黑体" w:eastAsia="黑体"/>
          <w:b w:val="0"/>
          <w:bCs/>
          <w:sz w:val="32"/>
          <w:szCs w:val="32"/>
          <w:lang w:val="en-US" w:eastAsia="zh-CN"/>
        </w:rPr>
        <w:t>0</w:t>
      </w:r>
      <w:r>
        <w:rPr>
          <w:rFonts w:hint="eastAsia" w:ascii="黑体" w:hAnsi="黑体" w:eastAsia="黑体"/>
          <w:b w:val="0"/>
          <w:bCs/>
          <w:sz w:val="32"/>
          <w:szCs w:val="32"/>
        </w:rPr>
        <w:t>年部门预算表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一、部门收支总体情况表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二、部门收入总体情况表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三、部门支出总体情况表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四、财政拨款收支总体情况表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五、一般公共预算支出情况表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六、支出经济分类汇总表</w:t>
      </w:r>
    </w:p>
    <w:p>
      <w:pPr>
        <w:ind w:firstLine="640" w:firstLineChars="200"/>
        <w:rPr>
          <w:rFonts w:ascii="仿宋_GB2312" w:hAnsi="宋体" w:eastAsia="仿宋_GB2312"/>
          <w:sz w:val="32"/>
          <w:szCs w:val="32"/>
        </w:rPr>
      </w:pPr>
      <w:r>
        <w:rPr>
          <w:rFonts w:hint="eastAsia" w:ascii="仿宋_GB2312" w:hAnsi="宋体" w:eastAsia="仿宋_GB2312"/>
          <w:sz w:val="32"/>
          <w:szCs w:val="32"/>
        </w:rPr>
        <w:t>七、政府性基金预算支出情况表</w:t>
      </w:r>
    </w:p>
    <w:p>
      <w:pPr>
        <w:ind w:firstLine="640" w:firstLineChars="200"/>
        <w:rPr>
          <w:rFonts w:ascii="仿宋_GB2312" w:hAnsi="宋体" w:eastAsia="仿宋_GB2312"/>
          <w:sz w:val="32"/>
          <w:szCs w:val="32"/>
        </w:rPr>
      </w:pPr>
      <w:r>
        <w:rPr>
          <w:rFonts w:hint="eastAsia" w:ascii="仿宋_GB2312" w:hAnsi="宋体" w:eastAsia="仿宋_GB2312"/>
          <w:sz w:val="32"/>
          <w:szCs w:val="32"/>
        </w:rPr>
        <w:t>八、一般公共预算“三公”经费支出情况表</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九、</w:t>
      </w:r>
      <w:r>
        <w:rPr>
          <w:rFonts w:hint="eastAsia" w:ascii="仿宋_GB2312" w:hAnsi="宋体" w:eastAsia="仿宋_GB2312"/>
          <w:sz w:val="32"/>
          <w:szCs w:val="32"/>
          <w:lang w:eastAsia="zh-CN"/>
        </w:rPr>
        <w:t>国有资本经营预算情况表</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十、政府采购汇总表</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十一、</w:t>
      </w:r>
      <w:r>
        <w:rPr>
          <w:rFonts w:hint="eastAsia" w:ascii="仿宋_GB2312" w:hAnsi="宋体" w:eastAsia="仿宋_GB2312"/>
          <w:sz w:val="32"/>
          <w:szCs w:val="32"/>
        </w:rPr>
        <w:t>部门(单位)整体绩效目标表</w:t>
      </w:r>
    </w:p>
    <w:p>
      <w:pPr>
        <w:ind w:firstLine="640" w:firstLineChars="200"/>
        <w:rPr>
          <w:rFonts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eastAsia="仿宋_GB2312"/>
          <w:sz w:val="32"/>
          <w:szCs w:val="32"/>
          <w:lang w:eastAsia="zh-CN"/>
        </w:rPr>
        <w:t>二</w:t>
      </w:r>
      <w:r>
        <w:rPr>
          <w:rFonts w:hint="eastAsia" w:ascii="仿宋_GB2312" w:hAnsi="宋体" w:eastAsia="仿宋_GB2312"/>
          <w:sz w:val="32"/>
          <w:szCs w:val="32"/>
        </w:rPr>
        <w:t>、部门预算项目绩效目标汇总表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第一部分</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b/>
          <w:sz w:val="32"/>
          <w:szCs w:val="32"/>
        </w:rPr>
      </w:pPr>
      <w:r>
        <w:rPr>
          <w:rFonts w:hint="eastAsia" w:ascii="方正小标宋简体" w:hAnsi="宋体" w:eastAsia="方正小标宋简体" w:cs="宋体"/>
          <w:b w:val="0"/>
          <w:bCs/>
          <w:sz w:val="44"/>
          <w:szCs w:val="44"/>
          <w:lang w:val="en-US" w:eastAsia="zh-CN"/>
        </w:rPr>
        <w:t>平顶山市石龙区食品药品监督管理局概况</w:t>
      </w:r>
    </w:p>
    <w:p>
      <w:pPr>
        <w:jc w:val="center"/>
        <w:rPr>
          <w:rFonts w:ascii="宋体" w:hAnsi="宋体"/>
          <w:b/>
          <w:sz w:val="32"/>
          <w:szCs w:val="32"/>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Times New Roman"/>
          <w:b w:val="0"/>
          <w:bCs/>
          <w:kern w:val="2"/>
          <w:sz w:val="32"/>
          <w:szCs w:val="32"/>
          <w:lang w:val="en-US" w:eastAsia="zh-CN" w:bidi="ar-SA"/>
        </w:rPr>
        <w:t>一、平顶山市石龙区食品药品监督管理局主要职</w:t>
      </w:r>
      <w:r>
        <w:rPr>
          <w:rFonts w:hint="eastAsia" w:ascii="黑体" w:hAnsi="黑体" w:eastAsia="黑体"/>
          <w:b/>
          <w:sz w:val="32"/>
          <w:szCs w:val="32"/>
        </w:rPr>
        <w:t>能</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贯彻执行国家食品（含食品添加剂、保健食品，下同）安全、药品（含中药、民族药，下同）医疗器械、化妆品监督管理法律、法规。贯彻执行食品、药品、医疗器械、化妆品安全规划和地方性食品安全管理办法、规定和监管程序、操作规程等规范性文件。推动建立落实食品药品安全企业主体责任、各级政府负总责的机制，建立食品药品重大信息直报制度并组织实施和监督检查，着力防范区域性、系统性食品药品安全风险。</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依法组织实施食品行政许可和质量安全监督管理，建立食品安全隐患排查治理机制，制定全区食品安全检查年度计划、重大整顿治理方案并组织落实。建立并组织实施食品药品安全信息统一发布制度，公布重大食品安全信息。参与制定食品安全内险监测计划，根据食品安全风险监测计划参与食品安全风险监测工作。</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监督实施药品和医疗器械标准、分类管理制度。负责药品、医疗器械流通和使用质量安全监管。建立药品不良反应、医疗器械不良事件监测体系，并开展监测和处置工作。根据化妆品监督管理办法组织实施化妆品监督管理。</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（四）负责制定食品药品监督管理的稽查制度并组织实施，组织查处重大违法行为。建立问题产品召回和处置制度并监督实施。</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（五）负责食品药品安全事故应急体系建议，组织和指导食品药品安全事故应急处置和调查处理工作，监督事故查处落实情况。</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（六）负责制定食品药品安全科技发展规划并组织实施，推动食品药品检验检测体系、电子监管追潮体系和信息化建设。</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（七）负责开展食品药品安全宣传、教育培训、对外交流与合作。推进诚信体系建设。</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（八）指导街道办事处食品药品监督管理工作，规范行政执法行为，完善行政执法与刑事司法衔接机制。</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（九）承担区政府食品安全委员会日常工作。负责食品安全监督管理综合协调，推动健全协调联动机制。督促检查街道办事处履行食品安全监督管理职责并负责考核评价。</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（十）承办区政府及区政府食品安全委员会交办的其他事项。</w:t>
      </w:r>
    </w:p>
    <w:p>
      <w:pPr>
        <w:ind w:firstLine="640" w:firstLineChars="200"/>
        <w:jc w:val="left"/>
        <w:rPr>
          <w:rFonts w:ascii="黑体" w:hAnsi="黑体" w:eastAsia="黑体" w:cs="Arial"/>
          <w:b w:val="0"/>
          <w:bCs/>
          <w:kern w:val="0"/>
          <w:sz w:val="32"/>
          <w:szCs w:val="32"/>
          <w:shd w:val="clear" w:color="auto" w:fill="FFFFFF"/>
        </w:rPr>
      </w:pPr>
      <w:r>
        <w:rPr>
          <w:rFonts w:hint="eastAsia" w:ascii="黑体" w:hAnsi="黑体" w:eastAsia="黑体" w:cs="Arial"/>
          <w:b w:val="0"/>
          <w:bCs/>
          <w:kern w:val="0"/>
          <w:sz w:val="32"/>
          <w:szCs w:val="32"/>
          <w:shd w:val="clear" w:color="auto" w:fill="FFFFFF"/>
        </w:rPr>
        <w:t>二、</w:t>
      </w:r>
      <w:r>
        <w:rPr>
          <w:rFonts w:hint="eastAsia" w:ascii="黑体" w:hAnsi="黑体" w:eastAsia="黑体"/>
          <w:b w:val="0"/>
          <w:bCs/>
          <w:sz w:val="32"/>
          <w:szCs w:val="32"/>
        </w:rPr>
        <w:t>平顶山市</w:t>
      </w:r>
      <w:r>
        <w:rPr>
          <w:rFonts w:hint="eastAsia" w:ascii="黑体" w:hAnsi="黑体" w:eastAsia="黑体"/>
          <w:b w:val="0"/>
          <w:bCs/>
          <w:sz w:val="32"/>
          <w:szCs w:val="32"/>
          <w:lang w:eastAsia="zh-CN"/>
        </w:rPr>
        <w:t>石龙区食品药品监督管理局</w:t>
      </w:r>
      <w:r>
        <w:rPr>
          <w:rFonts w:hint="eastAsia" w:ascii="黑体" w:hAnsi="黑体" w:eastAsia="黑体" w:cs="Arial"/>
          <w:b w:val="0"/>
          <w:bCs/>
          <w:kern w:val="0"/>
          <w:sz w:val="32"/>
          <w:szCs w:val="32"/>
          <w:shd w:val="clear" w:color="auto" w:fill="FFFFFF"/>
        </w:rPr>
        <w:t>预算单位构成</w:t>
      </w:r>
    </w:p>
    <w:p>
      <w:pPr>
        <w:ind w:firstLine="640" w:firstLineChars="200"/>
        <w:jc w:val="left"/>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局20</w:t>
      </w:r>
      <w:r>
        <w:rPr>
          <w:rFonts w:hint="eastAsia" w:ascii="仿宋_GB2312" w:hAnsi="宋体" w:eastAsia="仿宋_GB2312" w:cs="Arial"/>
          <w:kern w:val="0"/>
          <w:sz w:val="32"/>
          <w:szCs w:val="32"/>
          <w:shd w:val="clear" w:color="auto" w:fill="FFFFFF"/>
          <w:lang w:val="en-US" w:eastAsia="zh-CN"/>
        </w:rPr>
        <w:t>19</w:t>
      </w:r>
      <w:r>
        <w:rPr>
          <w:rFonts w:hint="eastAsia" w:ascii="仿宋_GB2312" w:hAnsi="宋体" w:eastAsia="仿宋_GB2312" w:cs="Arial"/>
          <w:kern w:val="0"/>
          <w:sz w:val="32"/>
          <w:szCs w:val="32"/>
          <w:shd w:val="clear" w:color="auto" w:fill="FFFFFF"/>
        </w:rPr>
        <w:t>年部门预算为本级预算及汇总预算，所属单位包含</w:t>
      </w:r>
    </w:p>
    <w:p>
      <w:pPr>
        <w:numPr>
          <w:ilvl w:val="0"/>
          <w:numId w:val="0"/>
        </w:numPr>
        <w:ind w:firstLine="640" w:firstLineChars="200"/>
        <w:jc w:val="left"/>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val="en-US" w:eastAsia="zh-CN"/>
        </w:rPr>
        <w:t>1、</w:t>
      </w: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石龙区食品药品监督管理局</w:t>
      </w:r>
    </w:p>
    <w:p>
      <w:pPr>
        <w:widowControl w:val="0"/>
        <w:numPr>
          <w:ilvl w:val="0"/>
          <w:numId w:val="0"/>
        </w:numPr>
        <w:jc w:val="left"/>
        <w:rPr>
          <w:rFonts w:hint="eastAsia" w:ascii="仿宋_GB2312" w:hAnsi="宋体" w:eastAsia="仿宋_GB2312" w:cs="Arial"/>
          <w:kern w:val="0"/>
          <w:sz w:val="32"/>
          <w:szCs w:val="32"/>
          <w:shd w:val="clear" w:color="auto" w:fill="FFFFFF"/>
          <w:lang w:eastAsia="zh-CN"/>
        </w:rPr>
      </w:pPr>
    </w:p>
    <w:p>
      <w:pPr>
        <w:wordWrap/>
        <w:adjustRightInd/>
        <w:snapToGrid/>
        <w:spacing w:line="560" w:lineRule="exact"/>
        <w:jc w:val="center"/>
        <w:textAlignment w:val="auto"/>
        <w:rPr>
          <w:rStyle w:val="7"/>
          <w:rFonts w:hint="eastAsia" w:ascii="仿宋_GB2312" w:hAnsi="仿宋_GB2312" w:eastAsia="仿宋_GB2312" w:cs="仿宋_GB2312"/>
          <w:i w:val="0"/>
          <w:caps w:val="0"/>
          <w:color w:val="000000"/>
          <w:spacing w:val="-17"/>
          <w:sz w:val="32"/>
          <w:szCs w:val="32"/>
          <w:shd w:val="clear" w:color="080000" w:fill="FFFFFF"/>
        </w:rPr>
      </w:pPr>
    </w:p>
    <w:p>
      <w:pPr>
        <w:pStyle w:val="12"/>
        <w:widowControl/>
        <w:wordWrap/>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第二部分</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平顶山市石龙区市场监督管理局2019年</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部门预算情况说明</w:t>
      </w:r>
    </w:p>
    <w:p>
      <w:pPr>
        <w:pStyle w:val="12"/>
        <w:widowControl/>
        <w:wordWrap/>
        <w:adjustRightInd/>
        <w:snapToGrid/>
        <w:spacing w:before="0" w:beforeAutospacing="0" w:after="0" w:afterAutospacing="0" w:line="560" w:lineRule="exact"/>
        <w:jc w:val="left"/>
        <w:textAlignment w:val="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 xml:space="preserve">    </w:t>
      </w:r>
    </w:p>
    <w:p>
      <w:pPr>
        <w:pStyle w:val="12"/>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一、收入支出预算总体情况说明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color w:val="000000"/>
          <w:sz w:val="32"/>
          <w:szCs w:val="32"/>
          <w:shd w:val="clear" w:color="auto" w:fill="FFFFFF"/>
        </w:rPr>
        <w:t>2019年收、支总计均为</w:t>
      </w:r>
      <w:r>
        <w:rPr>
          <w:rFonts w:hint="eastAsia" w:ascii="仿宋_GB2312" w:hAnsi="仿宋_GB2312" w:eastAsia="仿宋_GB2312" w:cs="仿宋_GB2312"/>
          <w:color w:val="000000"/>
          <w:sz w:val="32"/>
          <w:szCs w:val="32"/>
          <w:shd w:val="clear" w:color="auto" w:fill="FFFFFF"/>
          <w:lang w:val="en-US" w:eastAsia="zh-CN"/>
        </w:rPr>
        <w:t>204.17</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，占比</w:t>
      </w:r>
      <w:r>
        <w:rPr>
          <w:rFonts w:hint="eastAsia" w:ascii="仿宋_GB2312" w:hAnsi="仿宋_GB2312" w:eastAsia="仿宋_GB2312" w:cs="仿宋_GB2312"/>
          <w:color w:val="000000"/>
          <w:sz w:val="32"/>
          <w:szCs w:val="32"/>
          <w:shd w:val="clear" w:color="auto" w:fill="FFFFFF"/>
          <w:lang w:val="en-US" w:eastAsia="zh-CN"/>
        </w:rPr>
        <w:t>100%</w:t>
      </w:r>
      <w:r>
        <w:rPr>
          <w:rFonts w:hint="eastAsia" w:ascii="仿宋_GB2312" w:hAnsi="仿宋_GB2312" w:eastAsia="仿宋_GB2312" w:cs="仿宋_GB2312"/>
          <w:color w:val="000000"/>
          <w:sz w:val="32"/>
          <w:szCs w:val="32"/>
          <w:shd w:val="clear" w:color="auto" w:fill="FFFFFF"/>
        </w:rPr>
        <w:t>，与2018年相比，收、支总计均增加</w:t>
      </w:r>
      <w:r>
        <w:rPr>
          <w:rFonts w:hint="eastAsia" w:ascii="仿宋_GB2312" w:hAnsi="仿宋_GB2312" w:eastAsia="仿宋_GB2312" w:cs="仿宋_GB2312"/>
          <w:color w:val="000000"/>
          <w:sz w:val="32"/>
          <w:szCs w:val="32"/>
          <w:shd w:val="clear" w:color="auto" w:fill="FFFFFF"/>
          <w:lang w:val="en-US" w:eastAsia="zh-CN"/>
        </w:rPr>
        <w:t>17.62</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，增幅</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。主要原因：</w:t>
      </w:r>
      <w:r>
        <w:rPr>
          <w:rFonts w:hint="eastAsia" w:ascii="仿宋_GB2312" w:hAnsi="仿宋_GB2312" w:eastAsia="仿宋_GB2312" w:cs="仿宋_GB2312"/>
          <w:color w:val="000000"/>
          <w:sz w:val="32"/>
          <w:szCs w:val="32"/>
          <w:shd w:val="clear" w:color="auto" w:fill="FFFFFF"/>
          <w:lang w:eastAsia="zh-CN"/>
        </w:rPr>
        <w:t>机构改革单位</w:t>
      </w:r>
      <w:r>
        <w:rPr>
          <w:rFonts w:hint="eastAsia" w:ascii="仿宋_GB2312" w:hAnsi="仿宋_GB2312" w:eastAsia="仿宋_GB2312" w:cs="仿宋_GB2312"/>
          <w:color w:val="000000"/>
          <w:sz w:val="32"/>
          <w:szCs w:val="32"/>
          <w:shd w:val="clear" w:color="auto" w:fill="FFFFFF"/>
          <w:lang w:val="en-US" w:eastAsia="zh-CN"/>
        </w:rPr>
        <w:t>,人员不断增加</w:t>
      </w:r>
      <w:r>
        <w:rPr>
          <w:rFonts w:hint="eastAsia" w:ascii="仿宋_GB2312" w:hAnsi="仿宋_GB2312" w:eastAsia="仿宋_GB2312" w:cs="仿宋_GB2312"/>
          <w:color w:val="000000"/>
          <w:sz w:val="32"/>
          <w:szCs w:val="32"/>
          <w:shd w:val="clear" w:color="auto" w:fill="FFFFFF"/>
        </w:rPr>
        <w:t>。</w:t>
      </w:r>
    </w:p>
    <w:p>
      <w:pPr>
        <w:ind w:firstLine="640" w:firstLineChars="200"/>
        <w:jc w:val="left"/>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二、收入预算总体情况说明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color w:val="000000"/>
          <w:sz w:val="32"/>
          <w:szCs w:val="32"/>
          <w:shd w:val="clear" w:color="auto" w:fill="FFFFFF"/>
        </w:rPr>
        <w:t>2019年收入预算</w:t>
      </w:r>
      <w:r>
        <w:rPr>
          <w:rFonts w:hint="eastAsia" w:ascii="仿宋_GB2312" w:hAnsi="仿宋_GB2312" w:eastAsia="仿宋_GB2312" w:cs="仿宋_GB2312"/>
          <w:color w:val="000000"/>
          <w:sz w:val="32"/>
          <w:szCs w:val="32"/>
          <w:shd w:val="clear" w:color="auto" w:fill="FFFFFF"/>
          <w:lang w:val="en-US" w:eastAsia="zh-CN"/>
        </w:rPr>
        <w:t>204.17</w:t>
      </w:r>
      <w:r>
        <w:rPr>
          <w:rFonts w:hint="eastAsia" w:ascii="仿宋_GB2312" w:hAnsi="仿宋_GB2312" w:eastAsia="仿宋_GB2312" w:cs="仿宋_GB2312"/>
          <w:color w:val="000000"/>
          <w:sz w:val="32"/>
          <w:szCs w:val="32"/>
          <w:shd w:val="clear" w:color="auto" w:fill="FFFFFF"/>
        </w:rPr>
        <w:t>万元，其中：财政拨款收入</w:t>
      </w:r>
      <w:r>
        <w:rPr>
          <w:rFonts w:hint="eastAsia" w:ascii="仿宋_GB2312" w:hAnsi="仿宋_GB2312" w:eastAsia="仿宋_GB2312" w:cs="仿宋_GB2312"/>
          <w:color w:val="000000"/>
          <w:sz w:val="32"/>
          <w:szCs w:val="32"/>
          <w:shd w:val="clear" w:color="auto" w:fill="FFFFFF"/>
          <w:lang w:val="en-US" w:eastAsia="zh-CN"/>
        </w:rPr>
        <w:t>204.17</w:t>
      </w:r>
      <w:r>
        <w:rPr>
          <w:rFonts w:hint="eastAsia" w:ascii="仿宋_GB2312" w:hAnsi="仿宋_GB2312" w:eastAsia="仿宋_GB2312" w:cs="仿宋_GB2312"/>
          <w:color w:val="000000"/>
          <w:sz w:val="32"/>
          <w:szCs w:val="32"/>
          <w:shd w:val="clear" w:color="auto" w:fill="FFFFFF"/>
        </w:rPr>
        <w:t>万元</w:t>
      </w:r>
      <w:r>
        <w:rPr>
          <w:rFonts w:hint="eastAsia" w:ascii="仿宋" w:hAnsi="仿宋" w:eastAsia="仿宋" w:cs="仿宋"/>
          <w:color w:val="000000"/>
          <w:sz w:val="32"/>
          <w:szCs w:val="32"/>
          <w:shd w:val="clear" w:color="auto" w:fill="FFFFFF"/>
          <w:lang w:val="en-US" w:eastAsia="zh-CN"/>
        </w:rPr>
        <w:t>，</w:t>
      </w:r>
      <w:r>
        <w:rPr>
          <w:rFonts w:hint="eastAsia" w:ascii="仿宋_GB2312" w:hAnsi="仿宋" w:eastAsia="仿宋_GB2312" w:cs="仿宋"/>
          <w:bCs/>
          <w:kern w:val="0"/>
          <w:sz w:val="32"/>
          <w:szCs w:val="32"/>
          <w:lang w:val="en-US" w:eastAsia="zh-CN"/>
        </w:rPr>
        <w:t>占100%</w:t>
      </w:r>
      <w:r>
        <w:rPr>
          <w:rFonts w:hint="eastAsia" w:ascii="仿宋_GB2312" w:hAnsi="仿宋_GB2312" w:eastAsia="仿宋_GB2312" w:cs="仿宋_GB2312"/>
          <w:color w:val="000000"/>
          <w:sz w:val="32"/>
          <w:szCs w:val="32"/>
          <w:shd w:val="clear" w:color="auto" w:fill="FFFFFF"/>
        </w:rPr>
        <w:t>；部门结转资金收入</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Cs/>
          <w:kern w:val="0"/>
          <w:sz w:val="32"/>
          <w:szCs w:val="32"/>
        </w:rPr>
        <w:t>用事业单位基金弥补收支差额</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万元，比上年增加（或减少）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p>
    <w:p>
      <w:pPr>
        <w:ind w:firstLine="640" w:firstLineChars="200"/>
        <w:jc w:val="left"/>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三、支出预算总体情况说明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color w:val="000000"/>
          <w:sz w:val="32"/>
          <w:szCs w:val="32"/>
          <w:shd w:val="clear" w:color="auto" w:fill="FFFFFF"/>
        </w:rPr>
        <w:t>2019年支出预算</w:t>
      </w:r>
      <w:r>
        <w:rPr>
          <w:rFonts w:hint="eastAsia" w:ascii="仿宋_GB2312" w:hAnsi="仿宋_GB2312" w:eastAsia="仿宋_GB2312" w:cs="仿宋_GB2312"/>
          <w:color w:val="000000"/>
          <w:sz w:val="32"/>
          <w:szCs w:val="32"/>
          <w:shd w:val="clear" w:color="auto" w:fill="FFFFFF"/>
          <w:lang w:val="en-US" w:eastAsia="zh-CN"/>
        </w:rPr>
        <w:t>204.17</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color w:val="000000"/>
          <w:sz w:val="32"/>
          <w:szCs w:val="32"/>
          <w:shd w:val="clear" w:color="auto" w:fill="FFFFFF"/>
        </w:rPr>
        <w:t>年支出预算按用途划分为：工资福利支出</w:t>
      </w:r>
      <w:r>
        <w:rPr>
          <w:rFonts w:hint="eastAsia" w:ascii="仿宋_GB2312" w:hAnsi="仿宋_GB2312" w:eastAsia="仿宋_GB2312" w:cs="仿宋_GB2312"/>
          <w:color w:val="000000"/>
          <w:sz w:val="32"/>
          <w:szCs w:val="32"/>
          <w:shd w:val="clear" w:color="auto" w:fill="FFFFFF"/>
          <w:lang w:val="en-US" w:eastAsia="zh-CN"/>
        </w:rPr>
        <w:t>185.81</w:t>
      </w:r>
      <w:r>
        <w:rPr>
          <w:rFonts w:hint="eastAsia" w:ascii="仿宋_GB2312" w:hAnsi="仿宋_GB2312" w:eastAsia="仿宋_GB2312" w:cs="仿宋_GB2312"/>
          <w:color w:val="000000"/>
          <w:sz w:val="32"/>
          <w:szCs w:val="32"/>
          <w:shd w:val="clear" w:color="auto" w:fill="FFFFFF"/>
        </w:rPr>
        <w:t>万元,占</w:t>
      </w:r>
      <w:r>
        <w:rPr>
          <w:rFonts w:hint="eastAsia" w:ascii="仿宋_GB2312" w:hAnsi="仿宋_GB2312" w:eastAsia="仿宋_GB2312" w:cs="仿宋_GB2312"/>
          <w:color w:val="000000"/>
          <w:sz w:val="32"/>
          <w:szCs w:val="32"/>
          <w:shd w:val="clear" w:color="auto" w:fill="FFFFFF"/>
          <w:lang w:eastAsia="zh-CN"/>
        </w:rPr>
        <w:t>比</w:t>
      </w:r>
      <w:r>
        <w:rPr>
          <w:rFonts w:hint="eastAsia" w:ascii="仿宋_GB2312" w:hAnsi="仿宋_GB2312" w:eastAsia="仿宋_GB2312" w:cs="仿宋_GB2312"/>
          <w:color w:val="000000"/>
          <w:sz w:val="32"/>
          <w:szCs w:val="32"/>
          <w:shd w:val="clear" w:color="auto" w:fill="FFFFFF"/>
          <w:lang w:val="en-US" w:eastAsia="zh-CN"/>
        </w:rPr>
        <w:t>91.01</w:t>
      </w:r>
      <w:r>
        <w:rPr>
          <w:rFonts w:hint="eastAsia" w:ascii="仿宋_GB2312" w:hAnsi="仿宋_GB2312" w:eastAsia="仿宋_GB2312" w:cs="仿宋_GB2312"/>
          <w:color w:val="000000"/>
          <w:sz w:val="32"/>
          <w:szCs w:val="32"/>
          <w:shd w:val="clear" w:color="auto" w:fill="FFFFFF"/>
        </w:rPr>
        <w:t>%；商品服务支出</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万元，占</w:t>
      </w:r>
      <w:r>
        <w:rPr>
          <w:rFonts w:hint="eastAsia" w:ascii="仿宋_GB2312" w:hAnsi="仿宋_GB2312" w:eastAsia="仿宋_GB2312" w:cs="仿宋_GB2312"/>
          <w:color w:val="000000"/>
          <w:sz w:val="32"/>
          <w:szCs w:val="32"/>
          <w:shd w:val="clear" w:color="auto" w:fill="FFFFFF"/>
          <w:lang w:eastAsia="zh-CN"/>
        </w:rPr>
        <w:t>比</w:t>
      </w:r>
      <w:r>
        <w:rPr>
          <w:rFonts w:hint="eastAsia" w:ascii="仿宋_GB2312" w:hAnsi="仿宋_GB2312" w:eastAsia="仿宋_GB2312" w:cs="仿宋_GB2312"/>
          <w:color w:val="000000"/>
          <w:sz w:val="32"/>
          <w:szCs w:val="32"/>
          <w:shd w:val="clear" w:color="auto" w:fill="FFFFFF"/>
          <w:lang w:val="en-US" w:eastAsia="zh-CN"/>
        </w:rPr>
        <w:t>5.39</w:t>
      </w:r>
      <w:r>
        <w:rPr>
          <w:rFonts w:hint="eastAsia" w:ascii="仿宋_GB2312" w:hAnsi="仿宋_GB2312" w:eastAsia="仿宋_GB2312" w:cs="仿宋_GB2312"/>
          <w:color w:val="000000"/>
          <w:sz w:val="32"/>
          <w:szCs w:val="32"/>
          <w:shd w:val="clear" w:color="auto" w:fill="FFFFFF"/>
        </w:rPr>
        <w:t>%；对个人及家庭的补助支出</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万元，占</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%；项目支出</w:t>
      </w:r>
      <w:r>
        <w:rPr>
          <w:rFonts w:hint="eastAsia" w:ascii="仿宋_GB2312" w:hAnsi="仿宋_GB2312" w:eastAsia="仿宋_GB2312" w:cs="仿宋_GB2312"/>
          <w:color w:val="000000"/>
          <w:sz w:val="32"/>
          <w:szCs w:val="32"/>
          <w:shd w:val="clear" w:color="auto" w:fill="FFFFFF"/>
          <w:lang w:val="en-US" w:eastAsia="zh-CN"/>
        </w:rPr>
        <w:t>7.36</w:t>
      </w:r>
      <w:r>
        <w:rPr>
          <w:rFonts w:hint="eastAsia" w:ascii="仿宋_GB2312" w:hAnsi="仿宋_GB2312" w:eastAsia="仿宋_GB2312" w:cs="仿宋_GB2312"/>
          <w:color w:val="000000"/>
          <w:sz w:val="32"/>
          <w:szCs w:val="32"/>
          <w:shd w:val="clear" w:color="auto" w:fill="FFFFFF"/>
        </w:rPr>
        <w:t>万元，占</w:t>
      </w:r>
      <w:r>
        <w:rPr>
          <w:rFonts w:hint="eastAsia" w:ascii="仿宋_GB2312" w:hAnsi="仿宋_GB2312" w:eastAsia="仿宋_GB2312" w:cs="仿宋_GB2312"/>
          <w:color w:val="000000"/>
          <w:sz w:val="32"/>
          <w:szCs w:val="32"/>
          <w:shd w:val="clear" w:color="auto" w:fill="FFFFFF"/>
          <w:lang w:eastAsia="zh-CN"/>
        </w:rPr>
        <w:t>比</w:t>
      </w:r>
      <w:r>
        <w:rPr>
          <w:rFonts w:hint="eastAsia" w:ascii="仿宋_GB2312" w:hAnsi="仿宋_GB2312" w:eastAsia="仿宋_GB2312" w:cs="仿宋_GB2312"/>
          <w:color w:val="000000"/>
          <w:sz w:val="32"/>
          <w:szCs w:val="32"/>
          <w:shd w:val="clear" w:color="auto" w:fill="FFFFFF"/>
          <w:lang w:val="en-US" w:eastAsia="zh-CN"/>
        </w:rPr>
        <w:t>3.60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，主要项目是：食品安全事务</w:t>
      </w:r>
      <w:r>
        <w:rPr>
          <w:rFonts w:hint="eastAsia" w:ascii="仿宋_GB2312" w:hAnsi="仿宋_GB2312" w:eastAsia="仿宋_GB2312" w:cs="仿宋_GB2312"/>
          <w:color w:val="000000"/>
          <w:sz w:val="32"/>
          <w:szCs w:val="32"/>
          <w:shd w:val="clear" w:color="auto" w:fill="FFFFFF"/>
        </w:rPr>
        <w:t xml:space="preserve"> 。</w:t>
      </w:r>
    </w:p>
    <w:p>
      <w:pPr>
        <w:ind w:firstLine="640" w:firstLineChars="200"/>
        <w:jc w:val="left"/>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四、财政拨款收入支出预算总体情况说明</w:t>
      </w:r>
    </w:p>
    <w:p>
      <w:pPr>
        <w:pStyle w:val="12"/>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000000"/>
          <w:sz w:val="32"/>
          <w:szCs w:val="32"/>
          <w:shd w:val="clear" w:color="auto" w:fill="FFFFFF"/>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bCs/>
          <w:kern w:val="0"/>
          <w:sz w:val="32"/>
          <w:szCs w:val="32"/>
        </w:rPr>
        <w:t>2019年财政拨款收入、支出均为</w:t>
      </w:r>
      <w:r>
        <w:rPr>
          <w:rFonts w:hint="eastAsia" w:ascii="仿宋_GB2312" w:hAnsi="仿宋_GB2312" w:eastAsia="仿宋_GB2312" w:cs="仿宋_GB2312"/>
          <w:bCs/>
          <w:kern w:val="0"/>
          <w:sz w:val="32"/>
          <w:szCs w:val="32"/>
          <w:lang w:val="en-US" w:eastAsia="zh-CN"/>
        </w:rPr>
        <w:t>204.17</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eastAsia="zh-CN"/>
        </w:rPr>
        <w:t>，占比</w:t>
      </w:r>
      <w:r>
        <w:rPr>
          <w:rFonts w:hint="eastAsia" w:ascii="仿宋_GB2312" w:hAnsi="仿宋_GB2312" w:eastAsia="仿宋_GB2312" w:cs="仿宋_GB2312"/>
          <w:bCs/>
          <w:kern w:val="0"/>
          <w:sz w:val="32"/>
          <w:szCs w:val="32"/>
          <w:lang w:val="en-US" w:eastAsia="zh-CN"/>
        </w:rPr>
        <w:t>100%</w:t>
      </w:r>
      <w:r>
        <w:rPr>
          <w:rFonts w:hint="eastAsia" w:ascii="仿宋_GB2312" w:hAnsi="仿宋_GB2312" w:eastAsia="仿宋_GB2312" w:cs="仿宋_GB2312"/>
          <w:bCs/>
          <w:kern w:val="0"/>
          <w:sz w:val="32"/>
          <w:szCs w:val="32"/>
        </w:rPr>
        <w:t>，其中2019年一般公共预算收支预算</w:t>
      </w:r>
      <w:r>
        <w:rPr>
          <w:rFonts w:hint="eastAsia" w:ascii="仿宋_GB2312" w:hAnsi="仿宋_GB2312" w:eastAsia="仿宋_GB2312" w:cs="仿宋_GB2312"/>
          <w:bCs/>
          <w:kern w:val="0"/>
          <w:sz w:val="32"/>
          <w:szCs w:val="32"/>
          <w:lang w:val="en-US" w:eastAsia="zh-CN"/>
        </w:rPr>
        <w:t>204.17</w:t>
      </w:r>
      <w:r>
        <w:rPr>
          <w:rFonts w:hint="eastAsia" w:ascii="仿宋_GB2312" w:hAnsi="仿宋_GB2312" w:eastAsia="仿宋_GB2312" w:cs="仿宋_GB2312"/>
          <w:bCs/>
          <w:kern w:val="0"/>
          <w:sz w:val="32"/>
          <w:szCs w:val="32"/>
        </w:rPr>
        <w:t>万元，与2018年相比，一般公共预算收支预算增加</w:t>
      </w:r>
      <w:r>
        <w:rPr>
          <w:rFonts w:hint="eastAsia" w:ascii="仿宋_GB2312" w:hAnsi="仿宋_GB2312" w:eastAsia="仿宋_GB2312" w:cs="仿宋_GB2312"/>
          <w:bCs/>
          <w:kern w:val="0"/>
          <w:sz w:val="32"/>
          <w:szCs w:val="32"/>
          <w:lang w:val="en-US" w:eastAsia="zh-CN"/>
        </w:rPr>
        <w:t>17.62</w:t>
      </w:r>
      <w:r>
        <w:rPr>
          <w:rFonts w:hint="eastAsia" w:ascii="仿宋_GB2312" w:hAnsi="仿宋_GB2312" w:eastAsia="仿宋_GB2312" w:cs="仿宋_GB2312"/>
          <w:bCs/>
          <w:kern w:val="0"/>
          <w:sz w:val="32"/>
          <w:szCs w:val="32"/>
        </w:rPr>
        <w:t>万元，</w:t>
      </w:r>
      <w:r>
        <w:rPr>
          <w:rFonts w:hint="eastAsia" w:ascii="仿宋" w:hAnsi="仿宋" w:eastAsia="仿宋" w:cs="仿宋"/>
          <w:color w:val="000000"/>
          <w:sz w:val="32"/>
          <w:szCs w:val="32"/>
          <w:shd w:val="clear" w:color="auto" w:fill="FFFFFF"/>
          <w:lang w:eastAsia="zh-CN"/>
        </w:rPr>
        <w:t>增幅</w:t>
      </w:r>
      <w:r>
        <w:rPr>
          <w:rFonts w:hint="eastAsia" w:ascii="仿宋" w:hAnsi="仿宋" w:eastAsia="仿宋" w:cs="仿宋"/>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bCs/>
          <w:kern w:val="0"/>
          <w:sz w:val="32"/>
          <w:szCs w:val="32"/>
        </w:rPr>
        <w:t>主要原因：</w:t>
      </w:r>
      <w:r>
        <w:rPr>
          <w:rFonts w:hint="eastAsia" w:ascii="仿宋_GB2312" w:hAnsi="仿宋_GB2312" w:eastAsia="仿宋_GB2312" w:cs="仿宋_GB2312"/>
          <w:bCs/>
          <w:kern w:val="0"/>
          <w:sz w:val="32"/>
          <w:szCs w:val="32"/>
          <w:lang w:val="en-US" w:eastAsia="zh-CN"/>
        </w:rPr>
        <w:t>机构改革单位,人员不断增加</w:t>
      </w:r>
      <w:r>
        <w:rPr>
          <w:rFonts w:hint="eastAsia" w:ascii="仿宋_GB2312" w:hAnsi="仿宋_GB2312" w:eastAsia="仿宋_GB2312" w:cs="仿宋_GB2312"/>
          <w:bCs/>
          <w:kern w:val="0"/>
          <w:sz w:val="32"/>
          <w:szCs w:val="32"/>
        </w:rPr>
        <w:t>；2019年政府性基金收支预算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万元，与2018年相比，政府性基金收支预算增加（或减少）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万元，主要原因：</w:t>
      </w:r>
      <w:r>
        <w:rPr>
          <w:rFonts w:hint="eastAsia" w:ascii="仿宋_GB2312" w:hAnsi="仿宋_GB2312" w:eastAsia="仿宋_GB2312" w:cs="仿宋_GB2312"/>
          <w:bCs/>
          <w:kern w:val="0"/>
          <w:sz w:val="32"/>
          <w:szCs w:val="32"/>
          <w:lang w:eastAsia="zh-CN"/>
        </w:rPr>
        <w:t>本单位没有政府性基金收支预算</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2019年国有资本经营预算收支预算0万元，与2018年相比，国有资本经营预算收支预算增加0万元，本单位无国有资本经营预算。</w:t>
      </w:r>
    </w:p>
    <w:p>
      <w:pPr>
        <w:pStyle w:val="12"/>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五、一般公共预算支出预算情况说明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Cs/>
          <w:kern w:val="0"/>
          <w:sz w:val="32"/>
          <w:szCs w:val="32"/>
          <w:lang w:val="en-US" w:eastAsia="zh-CN" w:bidi="ar"/>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 w:hAnsi="仿宋" w:eastAsia="仿宋" w:cs="仿宋"/>
          <w:bCs/>
          <w:kern w:val="0"/>
          <w:sz w:val="32"/>
          <w:szCs w:val="32"/>
          <w:lang w:val="en-US" w:eastAsia="zh-CN" w:bidi="ar"/>
        </w:rPr>
        <w:t xml:space="preserve">2019年一般公共预算支出年初预算为204.17万元。主要用于以下方面：一般公共服务（类）支出146.88万元，占71.94%；社会保障和就业（类）支出34.36万元，占16.83%；医疗卫生（类）支出8.23万元，占4.03%；住房保障（类）支出14.70万元，占7.20%。 </w:t>
      </w:r>
    </w:p>
    <w:p>
      <w:pPr>
        <w:ind w:firstLine="640" w:firstLineChars="200"/>
        <w:jc w:val="left"/>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六、支出预算经济分类情况说明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bCs/>
          <w:kern w:val="0"/>
          <w:sz w:val="32"/>
          <w:szCs w:val="32"/>
          <w:lang w:val="en-US" w:eastAsia="zh-CN"/>
        </w:rPr>
        <w:t>2019年预算支出204.17万元，其中：基本支出196.81万元，主要包括：基本工资、津贴补贴、奖金、机关事业单位基本养老保险缴费、职业年金缴费、医疗保险缴费、其他社会保障缴费、住房公积金、其他工资福利支出、其他对个人和家庭的补助支出、商品和服务支出；项目支出7.36万元，主要包括：办公费、印刷费、维修（护）费、会议费、培训费、公务接待费、公务用车运行维护费、其他交通费用、其他商品和服务支出。</w:t>
      </w:r>
    </w:p>
    <w:p>
      <w:pPr>
        <w:pStyle w:val="12"/>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rPr>
        <w:t>七、政府性基金预算支出情况说明</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宋体" w:eastAsia="仿宋_GB2312" w:cs="Arial"/>
          <w:kern w:val="0"/>
          <w:sz w:val="32"/>
          <w:szCs w:val="32"/>
          <w:shd w:val="clear" w:color="auto" w:fill="FFFFFF"/>
        </w:rPr>
        <w:t>平顶山市</w:t>
      </w:r>
      <w:r>
        <w:rPr>
          <w:rFonts w:hint="eastAsia" w:ascii="仿宋_GB2312" w:hAnsi="宋体" w:eastAsia="仿宋_GB2312" w:cs="Arial"/>
          <w:kern w:val="0"/>
          <w:sz w:val="32"/>
          <w:szCs w:val="32"/>
          <w:shd w:val="clear" w:color="auto" w:fill="FFFFFF"/>
          <w:lang w:eastAsia="zh-CN"/>
        </w:rPr>
        <w:t>石龙区食品药品监督管理</w:t>
      </w:r>
      <w:r>
        <w:rPr>
          <w:rFonts w:hint="eastAsia" w:ascii="仿宋_GB2312" w:hAnsi="宋体" w:eastAsia="仿宋_GB2312" w:cs="Arial"/>
          <w:kern w:val="0"/>
          <w:sz w:val="32"/>
          <w:szCs w:val="32"/>
          <w:shd w:val="clear" w:color="auto" w:fill="FFFFFF"/>
        </w:rPr>
        <w:t>局</w:t>
      </w:r>
      <w:r>
        <w:rPr>
          <w:rFonts w:hint="eastAsia" w:ascii="仿宋_GB2312" w:hAnsi="仿宋_GB2312" w:eastAsia="仿宋_GB2312" w:cs="仿宋_GB2312"/>
          <w:bCs/>
          <w:kern w:val="0"/>
          <w:sz w:val="32"/>
          <w:szCs w:val="32"/>
          <w:lang w:val="en-US" w:eastAsia="zh-CN"/>
        </w:rPr>
        <w:t>2019年政府性基金预算支出0万元，预算数与2018年持平。</w:t>
      </w:r>
    </w:p>
    <w:p>
      <w:pPr>
        <w:pStyle w:val="12"/>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“三公”经费支出预算情况说明</w:t>
      </w:r>
    </w:p>
    <w:p>
      <w:pPr>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平顶山市石龙区食品药品监督管理局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年“三公”经费预算</w:t>
      </w:r>
      <w:r>
        <w:rPr>
          <w:rFonts w:hint="eastAsia" w:ascii="仿宋_GB2312" w:hAnsi="宋体" w:eastAsia="仿宋_GB2312"/>
          <w:sz w:val="32"/>
          <w:szCs w:val="32"/>
          <w:lang w:val="en-US" w:eastAsia="zh-CN"/>
        </w:rPr>
        <w:t>6.2</w:t>
      </w:r>
      <w:r>
        <w:rPr>
          <w:rFonts w:hint="eastAsia" w:ascii="仿宋_GB2312" w:hAnsi="宋体" w:eastAsia="仿宋_GB2312"/>
          <w:sz w:val="32"/>
          <w:szCs w:val="32"/>
        </w:rPr>
        <w:t>万元。20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年“三公”经费支出预算数与上年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0.2万元</w:t>
      </w:r>
      <w:r>
        <w:rPr>
          <w:rFonts w:hint="eastAsia" w:ascii="仿宋_GB2312" w:hAnsi="宋体" w:eastAsia="仿宋_GB2312"/>
          <w:sz w:val="32"/>
          <w:szCs w:val="32"/>
        </w:rPr>
        <w:t>。</w:t>
      </w:r>
      <w:r>
        <w:rPr>
          <w:rFonts w:hint="eastAsia" w:ascii="仿宋_GB2312" w:hAnsi="宋体" w:eastAsia="仿宋_GB2312"/>
          <w:sz w:val="32"/>
          <w:szCs w:val="32"/>
          <w:lang w:eastAsia="zh-CN"/>
        </w:rPr>
        <w:t>主要原因是：增加快检车</w:t>
      </w:r>
      <w:r>
        <w:rPr>
          <w:rFonts w:hint="eastAsia" w:ascii="仿宋_GB2312" w:hAnsi="宋体" w:eastAsia="仿宋_GB2312"/>
          <w:sz w:val="32"/>
          <w:szCs w:val="32"/>
          <w:lang w:val="en-US" w:eastAsia="zh-CN"/>
        </w:rPr>
        <w:t>1辆，共有2辆公车。</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具体支出情况如下：</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（一）因公出国（境）费</w:t>
      </w:r>
      <w:r>
        <w:rPr>
          <w:rFonts w:hint="eastAsia" w:ascii="仿宋_GB2312" w:hAnsi="宋体" w:eastAsia="仿宋_GB2312"/>
          <w:sz w:val="32"/>
          <w:szCs w:val="32"/>
        </w:rPr>
        <w:t>预算0万元，主要用于单位工作人员公务出国（境）的住宿费、旅费、伙食补助费、杂费、培训费等支出。预算数与上年持平</w:t>
      </w:r>
      <w:r>
        <w:rPr>
          <w:rFonts w:hint="eastAsia" w:ascii="仿宋_GB2312" w:hAnsi="宋体" w:eastAsia="仿宋_GB2312"/>
          <w:sz w:val="32"/>
          <w:szCs w:val="32"/>
          <w:lang w:eastAsia="zh-CN"/>
        </w:rPr>
        <w:t>，占“三公”经费总额的</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。主要原因：严格执行八项规定，厉行节约，从严控制因公出国（境）经费支出。</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（二）公务用车购置及运行费</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6</w:t>
      </w:r>
      <w:r>
        <w:rPr>
          <w:rFonts w:hint="eastAsia" w:ascii="仿宋_GB2312" w:hAnsi="宋体" w:eastAsia="仿宋_GB2312"/>
          <w:sz w:val="32"/>
          <w:szCs w:val="32"/>
        </w:rPr>
        <w:t>.0万元，预算数与</w:t>
      </w:r>
      <w:r>
        <w:rPr>
          <w:rFonts w:hint="eastAsia" w:ascii="仿宋_GB2312" w:hAnsi="宋体" w:eastAsia="仿宋_GB2312"/>
          <w:sz w:val="32"/>
          <w:szCs w:val="32"/>
          <w:lang w:val="en-US" w:eastAsia="zh-CN"/>
        </w:rPr>
        <w:t>2018年相比增加3万元</w:t>
      </w:r>
      <w:r>
        <w:rPr>
          <w:rFonts w:hint="eastAsia" w:ascii="仿宋_GB2312" w:hAnsi="宋体" w:eastAsia="仿宋_GB2312"/>
          <w:sz w:val="32"/>
          <w:szCs w:val="32"/>
        </w:rPr>
        <w:t>，占“三公”经费总额的</w:t>
      </w:r>
      <w:r>
        <w:rPr>
          <w:rFonts w:hint="eastAsia" w:ascii="仿宋_GB2312" w:hAnsi="宋体" w:eastAsia="仿宋_GB2312"/>
          <w:sz w:val="32"/>
          <w:szCs w:val="32"/>
          <w:lang w:val="en-US" w:eastAsia="zh-CN"/>
        </w:rPr>
        <w:t>96.77</w:t>
      </w:r>
      <w:r>
        <w:rPr>
          <w:rFonts w:hint="eastAsia" w:ascii="仿宋_GB2312" w:hAnsi="宋体" w:eastAsia="仿宋_GB2312"/>
          <w:sz w:val="32"/>
          <w:szCs w:val="32"/>
        </w:rPr>
        <w:t>%。其中：公务用车运行维护费</w:t>
      </w:r>
      <w:r>
        <w:rPr>
          <w:rFonts w:hint="eastAsia" w:ascii="仿宋_GB2312" w:hAnsi="宋体" w:eastAsia="仿宋_GB2312"/>
          <w:sz w:val="32"/>
          <w:szCs w:val="32"/>
          <w:lang w:val="en-US" w:eastAsia="zh-CN"/>
        </w:rPr>
        <w:t>6</w:t>
      </w:r>
      <w:r>
        <w:rPr>
          <w:rFonts w:hint="eastAsia" w:ascii="仿宋_GB2312" w:hAnsi="宋体" w:eastAsia="仿宋_GB2312"/>
          <w:sz w:val="32"/>
          <w:szCs w:val="32"/>
        </w:rPr>
        <w:t>.0万元，主要用于日常公务发生的燃料费、维修费、过路过桥费、保险费等支出。支出预算数与上年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3万元</w:t>
      </w:r>
      <w:r>
        <w:rPr>
          <w:rFonts w:hint="eastAsia" w:ascii="仿宋_GB2312" w:hAnsi="宋体" w:eastAsia="仿宋_GB2312"/>
          <w:sz w:val="32"/>
          <w:szCs w:val="32"/>
        </w:rPr>
        <w:t>，占“三公”经费总额的</w:t>
      </w:r>
      <w:r>
        <w:rPr>
          <w:rFonts w:hint="eastAsia" w:ascii="仿宋_GB2312" w:hAnsi="宋体" w:eastAsia="仿宋_GB2312"/>
          <w:sz w:val="32"/>
          <w:szCs w:val="32"/>
          <w:lang w:val="en-US" w:eastAsia="zh-CN"/>
        </w:rPr>
        <w:t>96.77</w:t>
      </w:r>
      <w:r>
        <w:rPr>
          <w:rFonts w:hint="eastAsia" w:ascii="仿宋_GB2312" w:hAnsi="宋体" w:eastAsia="仿宋_GB2312"/>
          <w:sz w:val="32"/>
          <w:szCs w:val="32"/>
        </w:rPr>
        <w:t>%，</w:t>
      </w:r>
      <w:r>
        <w:rPr>
          <w:rFonts w:hint="eastAsia" w:ascii="仿宋_GB2312" w:hAnsi="仿宋_GB2312" w:eastAsia="仿宋_GB2312" w:cs="仿宋_GB2312"/>
          <w:bCs/>
          <w:kern w:val="0"/>
          <w:sz w:val="32"/>
          <w:szCs w:val="32"/>
          <w:lang w:val="en-US" w:eastAsia="zh-CN"/>
        </w:rPr>
        <w:t>主要原因是根据豫食药监科函[2016]429号文件转发《食品药品监管总局办公厅关于做好县级食品快速检验车配备工作的通知》精神，需购置食品快速检验车辆，今年购车1辆，故“三公”经费增加。</w:t>
      </w:r>
      <w:r>
        <w:rPr>
          <w:rFonts w:hint="eastAsia" w:ascii="仿宋_GB2312" w:hAnsi="宋体" w:eastAsia="仿宋_GB2312"/>
          <w:sz w:val="32"/>
          <w:szCs w:val="32"/>
        </w:rPr>
        <w:t>公务用车购置费0.0万元，预算数与上年持平，占“三公”经费总额的0.00%，主要原因：落实公车改革政策、加强公务用车管理，严控公务用车支出。</w:t>
      </w:r>
    </w:p>
    <w:p>
      <w:pPr>
        <w:pStyle w:val="12"/>
        <w:widowControl/>
        <w:wordWrap/>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宋体" w:eastAsia="仿宋_GB2312"/>
          <w:b/>
          <w:sz w:val="32"/>
          <w:szCs w:val="32"/>
        </w:rPr>
        <w:t>（三）公务接待费</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0.2</w:t>
      </w:r>
      <w:r>
        <w:rPr>
          <w:rFonts w:hint="eastAsia" w:ascii="仿宋_GB2312" w:hAnsi="宋体" w:eastAsia="仿宋_GB2312"/>
          <w:sz w:val="32"/>
          <w:szCs w:val="32"/>
        </w:rPr>
        <w:t>万元，</w:t>
      </w:r>
      <w:r>
        <w:rPr>
          <w:rFonts w:hint="eastAsia" w:ascii="仿宋_GB2312" w:hAnsi="仿宋_GB2312" w:eastAsia="仿宋_GB2312" w:cs="仿宋_GB2312"/>
          <w:bCs/>
          <w:kern w:val="0"/>
          <w:sz w:val="32"/>
          <w:szCs w:val="32"/>
          <w:lang w:val="en-US" w:eastAsia="zh-CN"/>
        </w:rPr>
        <w:t>预算数与2018年持平，占“三公”经费总额的3.23%。主要原因是压缩开支，单位成立食堂。</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九、国有资本经营预算情况说明</w:t>
      </w:r>
    </w:p>
    <w:p>
      <w:pPr>
        <w:ind w:firstLine="640" w:firstLineChars="200"/>
        <w:jc w:val="left"/>
        <w:rPr>
          <w:rFonts w:hint="eastAsia" w:ascii="仿宋_GB2312" w:hAnsi="仿宋" w:eastAsia="仿宋_GB2312" w:cs="仿宋"/>
          <w:bCs/>
          <w:kern w:val="0"/>
          <w:sz w:val="32"/>
          <w:szCs w:val="32"/>
        </w:rPr>
      </w:pPr>
      <w:r>
        <w:rPr>
          <w:rFonts w:hint="eastAsia" w:ascii="仿宋_GB2312" w:hAnsi="宋体" w:eastAsia="仿宋_GB2312"/>
          <w:sz w:val="32"/>
          <w:szCs w:val="32"/>
          <w:lang w:eastAsia="zh-CN"/>
        </w:rPr>
        <w:t>平顶山市石龙区食品药品监督管理局</w:t>
      </w:r>
      <w:r>
        <w:rPr>
          <w:rFonts w:hint="eastAsia" w:ascii="仿宋_GB2312" w:hAnsi="仿宋" w:eastAsia="仿宋_GB2312" w:cs="仿宋"/>
          <w:bCs/>
          <w:kern w:val="0"/>
          <w:sz w:val="32"/>
          <w:szCs w:val="32"/>
        </w:rPr>
        <w:t>20</w:t>
      </w:r>
      <w:r>
        <w:rPr>
          <w:rFonts w:hint="eastAsia" w:ascii="仿宋_GB2312" w:hAnsi="仿宋" w:eastAsia="仿宋_GB2312" w:cs="仿宋"/>
          <w:bCs/>
          <w:kern w:val="0"/>
          <w:sz w:val="32"/>
          <w:szCs w:val="32"/>
          <w:lang w:val="en-US" w:eastAsia="zh-CN"/>
        </w:rPr>
        <w:t>19</w:t>
      </w:r>
      <w:r>
        <w:rPr>
          <w:rFonts w:hint="eastAsia" w:ascii="仿宋_GB2312" w:hAnsi="仿宋" w:eastAsia="仿宋_GB2312" w:cs="仿宋"/>
          <w:bCs/>
          <w:kern w:val="0"/>
          <w:sz w:val="32"/>
          <w:szCs w:val="32"/>
        </w:rPr>
        <w:t>年</w:t>
      </w:r>
      <w:r>
        <w:rPr>
          <w:rFonts w:hint="eastAsia" w:ascii="仿宋_GB2312" w:hAnsi="仿宋" w:eastAsia="仿宋_GB2312" w:cs="仿宋"/>
          <w:bCs/>
          <w:kern w:val="0"/>
          <w:sz w:val="32"/>
          <w:szCs w:val="32"/>
          <w:lang w:val="en-US" w:eastAsia="zh-CN"/>
        </w:rPr>
        <w:t>无使用</w:t>
      </w:r>
      <w:r>
        <w:rPr>
          <w:rFonts w:hint="eastAsia" w:ascii="仿宋_GB2312" w:hAnsi="仿宋" w:eastAsia="仿宋_GB2312" w:cs="仿宋"/>
          <w:bCs/>
          <w:kern w:val="0"/>
          <w:sz w:val="32"/>
          <w:szCs w:val="32"/>
        </w:rPr>
        <w:t>国有资本经营预算</w:t>
      </w:r>
      <w:r>
        <w:rPr>
          <w:rFonts w:hint="eastAsia" w:ascii="仿宋_GB2312" w:hAnsi="仿宋" w:eastAsia="仿宋_GB2312" w:cs="仿宋"/>
          <w:bCs/>
          <w:kern w:val="0"/>
          <w:sz w:val="32"/>
          <w:szCs w:val="32"/>
          <w:lang w:val="en-US" w:eastAsia="zh-CN"/>
        </w:rPr>
        <w:t>拨款安排的</w:t>
      </w:r>
      <w:r>
        <w:rPr>
          <w:rFonts w:hint="eastAsia" w:ascii="仿宋_GB2312" w:hAnsi="仿宋" w:eastAsia="仿宋_GB2312" w:cs="仿宋"/>
          <w:bCs/>
          <w:kern w:val="0"/>
          <w:sz w:val="32"/>
          <w:szCs w:val="32"/>
        </w:rPr>
        <w:t>支出，预算数与上年持平。</w:t>
      </w:r>
    </w:p>
    <w:p>
      <w:pPr>
        <w:ind w:firstLine="640" w:firstLineChars="200"/>
        <w:jc w:val="left"/>
        <w:rPr>
          <w:rFonts w:hint="eastAsia" w:ascii="黑体" w:hAnsi="黑体" w:eastAsia="黑体"/>
          <w:b w:val="0"/>
          <w:bCs/>
          <w:sz w:val="32"/>
          <w:szCs w:val="32"/>
        </w:rPr>
      </w:pPr>
      <w:r>
        <w:rPr>
          <w:rFonts w:hint="eastAsia" w:ascii="黑体" w:hAnsi="黑体" w:eastAsia="黑体"/>
          <w:b w:val="0"/>
          <w:bCs/>
          <w:sz w:val="32"/>
          <w:szCs w:val="32"/>
          <w:lang w:eastAsia="zh-CN"/>
        </w:rPr>
        <w:t>十、</w:t>
      </w:r>
      <w:r>
        <w:rPr>
          <w:rFonts w:hint="eastAsia" w:ascii="黑体" w:hAnsi="黑体" w:eastAsia="黑体"/>
          <w:b w:val="0"/>
          <w:bCs/>
          <w:sz w:val="32"/>
          <w:szCs w:val="32"/>
        </w:rPr>
        <w:t>政府采购情况说明</w:t>
      </w:r>
    </w:p>
    <w:p>
      <w:pPr>
        <w:pStyle w:val="4"/>
        <w:widowControl w:val="0"/>
        <w:shd w:val="clear" w:color="auto" w:fill="FFFFFF"/>
        <w:spacing w:before="0" w:beforeAutospacing="0" w:after="0" w:afterAutospacing="0" w:line="375" w:lineRule="atLeast"/>
        <w:ind w:firstLine="540"/>
        <w:rPr>
          <w:rFonts w:hint="eastAsia" w:ascii="仿宋_GB2312" w:eastAsia="仿宋_GB2312"/>
          <w:sz w:val="32"/>
          <w:szCs w:val="32"/>
        </w:rPr>
      </w:pPr>
      <w:r>
        <w:rPr>
          <w:rFonts w:hint="eastAsia" w:ascii="仿宋_GB2312" w:hAnsi="宋体" w:eastAsia="仿宋_GB2312"/>
          <w:sz w:val="32"/>
          <w:szCs w:val="32"/>
          <w:lang w:eastAsia="zh-CN"/>
        </w:rPr>
        <w:t>平顶山市石龙区食品药品监督管理局</w:t>
      </w:r>
      <w:r>
        <w:rPr>
          <w:rFonts w:hint="eastAsia" w:ascii="仿宋_GB2312" w:eastAsia="仿宋_GB2312"/>
          <w:sz w:val="32"/>
          <w:szCs w:val="32"/>
        </w:rPr>
        <w:t>20</w:t>
      </w:r>
      <w:r>
        <w:rPr>
          <w:rFonts w:hint="eastAsia" w:ascii="仿宋_GB2312" w:eastAsia="仿宋_GB2312"/>
          <w:sz w:val="32"/>
          <w:szCs w:val="32"/>
          <w:lang w:val="en-US" w:eastAsia="zh-CN"/>
        </w:rPr>
        <w:t>19</w:t>
      </w:r>
      <w:r>
        <w:rPr>
          <w:rFonts w:hint="eastAsia" w:ascii="仿宋_GB2312" w:eastAsia="仿宋_GB2312"/>
          <w:sz w:val="32"/>
          <w:szCs w:val="32"/>
        </w:rPr>
        <w:t>年政府采购预算安排</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万元、政府采购工程预算0.0万元、政府采购服务预算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万元。主要用于办公楼物业服务、资料印刷、办公设备、计算机硬件、办公家具购置等支出。</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十一、预算整体（项目）绩效目标说明</w:t>
      </w:r>
    </w:p>
    <w:p>
      <w:pPr>
        <w:spacing w:line="600" w:lineRule="exact"/>
        <w:ind w:firstLine="640" w:firstLineChars="200"/>
        <w:jc w:val="left"/>
        <w:rPr>
          <w:rFonts w:hint="eastAsia" w:ascii="仿宋_GB2312" w:hAnsi="仿宋" w:eastAsia="仿宋_GB2312" w:cs="仿宋"/>
          <w:bCs/>
          <w:kern w:val="0"/>
          <w:sz w:val="32"/>
          <w:szCs w:val="32"/>
          <w:lang w:val="en-US" w:eastAsia="zh-CN"/>
        </w:rPr>
      </w:pPr>
      <w:r>
        <w:rPr>
          <w:rFonts w:hint="eastAsia" w:ascii="仿宋_GB2312" w:hAnsi="宋体" w:eastAsia="仿宋_GB2312"/>
          <w:sz w:val="32"/>
          <w:szCs w:val="32"/>
          <w:lang w:eastAsia="zh-CN"/>
        </w:rPr>
        <w:t>平顶山市石龙区食品药品监督管理局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年按要求编制了绩效目标，从项目产出、项目效益、满意度等方面设置了绩效指标，综合反映项目预期完成的数量、实效、质量，预期达到的社会经济效益、可持续影响以及服务对象满意度等情况。</w:t>
      </w:r>
    </w:p>
    <w:p>
      <w:pPr>
        <w:ind w:firstLine="640" w:firstLineChars="200"/>
        <w:jc w:val="left"/>
        <w:rPr>
          <w:rFonts w:hint="eastAsia" w:ascii="黑体" w:hAnsi="黑体" w:eastAsia="黑体"/>
          <w:b w:val="0"/>
          <w:bCs/>
          <w:sz w:val="32"/>
          <w:szCs w:val="32"/>
        </w:rPr>
      </w:pPr>
      <w:r>
        <w:rPr>
          <w:rFonts w:hint="eastAsia" w:ascii="黑体" w:hAnsi="黑体" w:eastAsia="黑体"/>
          <w:b w:val="0"/>
          <w:bCs/>
          <w:sz w:val="32"/>
          <w:szCs w:val="32"/>
          <w:lang w:eastAsia="zh-CN"/>
        </w:rPr>
        <w:t>十二</w:t>
      </w:r>
      <w:r>
        <w:rPr>
          <w:rFonts w:hint="eastAsia" w:ascii="黑体" w:hAnsi="黑体" w:eastAsia="黑体"/>
          <w:b w:val="0"/>
          <w:bCs/>
          <w:sz w:val="32"/>
          <w:szCs w:val="32"/>
        </w:rPr>
        <w:t>、其他重要事项情况说明</w:t>
      </w:r>
    </w:p>
    <w:p>
      <w:pPr>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（一）机关运行经费支出情况</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eastAsia="zh-CN"/>
        </w:rPr>
        <w:t>平顶山市石龙区食品药品监督管理局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19年</w:t>
      </w:r>
      <w:r>
        <w:rPr>
          <w:rFonts w:hint="eastAsia" w:ascii="仿宋_GB2312" w:hAnsi="宋体" w:eastAsia="仿宋_GB2312"/>
          <w:sz w:val="32"/>
          <w:szCs w:val="32"/>
        </w:rPr>
        <w:t>机关运行经费支出预算</w:t>
      </w:r>
      <w:r>
        <w:rPr>
          <w:rFonts w:hint="eastAsia" w:ascii="仿宋_GB2312" w:hAnsi="宋体" w:eastAsia="仿宋_GB2312"/>
          <w:sz w:val="32"/>
          <w:szCs w:val="32"/>
          <w:lang w:val="en-US" w:eastAsia="zh-CN"/>
        </w:rPr>
        <w:t>11</w:t>
      </w:r>
      <w:r>
        <w:rPr>
          <w:rFonts w:hint="eastAsia" w:ascii="仿宋_GB2312" w:hAnsi="宋体" w:eastAsia="仿宋_GB2312"/>
          <w:sz w:val="32"/>
          <w:szCs w:val="32"/>
        </w:rPr>
        <w:t>万元，</w:t>
      </w:r>
      <w:r>
        <w:rPr>
          <w:rFonts w:hint="eastAsia" w:ascii="仿宋_GB2312" w:eastAsia="仿宋_GB2312"/>
          <w:sz w:val="32"/>
          <w:szCs w:val="32"/>
        </w:rPr>
        <w:t>主要保障机构正常运转及正常履职需要</w:t>
      </w:r>
      <w:r>
        <w:rPr>
          <w:rFonts w:hint="eastAsia" w:ascii="仿宋_GB2312" w:hAnsi="宋体" w:eastAsia="仿宋_GB2312"/>
          <w:sz w:val="32"/>
          <w:szCs w:val="32"/>
        </w:rPr>
        <w:t>。</w:t>
      </w:r>
    </w:p>
    <w:p>
      <w:pPr>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w:t>
      </w:r>
      <w:r>
        <w:rPr>
          <w:rFonts w:hint="eastAsia" w:ascii="仿宋_GB2312" w:hAnsi="宋体" w:eastAsia="仿宋_GB2312"/>
          <w:b w:val="0"/>
          <w:bCs/>
          <w:sz w:val="32"/>
          <w:szCs w:val="32"/>
          <w:lang w:eastAsia="zh-CN"/>
        </w:rPr>
        <w:t>二</w:t>
      </w:r>
      <w:r>
        <w:rPr>
          <w:rFonts w:hint="eastAsia" w:ascii="仿宋_GB2312" w:hAnsi="宋体" w:eastAsia="仿宋_GB2312"/>
          <w:b w:val="0"/>
          <w:bCs/>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平顶山市石龙区食品药品监督管理局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18</w:t>
      </w:r>
      <w:r>
        <w:rPr>
          <w:rFonts w:hint="eastAsia" w:ascii="仿宋_GB2312" w:hAnsi="宋体" w:eastAsia="仿宋_GB2312"/>
          <w:sz w:val="32"/>
          <w:szCs w:val="32"/>
        </w:rPr>
        <w:t>年期末共有车辆</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辆，其中：一般公务用车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辆，一般执法执勤用车0辆，特种专业技术用车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辆，其他用车0辆；单价50万元以上通用设备0套，单位价值100万元以上专用设备0套。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b w:val="0"/>
          <w:bCs/>
          <w:sz w:val="32"/>
          <w:szCs w:val="32"/>
        </w:rPr>
      </w:pPr>
      <w:r>
        <w:rPr>
          <w:rFonts w:hint="eastAsia" w:ascii="仿宋_GB2312" w:hAnsi="宋体" w:eastAsia="仿宋_GB2312"/>
          <w:b w:val="0"/>
          <w:bCs/>
          <w:sz w:val="32"/>
          <w:szCs w:val="32"/>
        </w:rPr>
        <w:t>（</w:t>
      </w:r>
      <w:r>
        <w:rPr>
          <w:rFonts w:hint="eastAsia" w:ascii="仿宋_GB2312" w:hAnsi="宋体" w:eastAsia="仿宋_GB2312"/>
          <w:b w:val="0"/>
          <w:bCs/>
          <w:sz w:val="32"/>
          <w:szCs w:val="32"/>
          <w:lang w:eastAsia="zh-CN"/>
        </w:rPr>
        <w:t>三</w:t>
      </w:r>
      <w:r>
        <w:rPr>
          <w:rFonts w:hint="eastAsia" w:ascii="仿宋_GB2312" w:hAnsi="宋体" w:eastAsia="仿宋_GB2312"/>
          <w:b w:val="0"/>
          <w:bCs/>
          <w:sz w:val="32"/>
          <w:szCs w:val="32"/>
        </w:rPr>
        <w:t>）专项转移支付项目情况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平顶山市石龙区食品药品监督管理局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年没有专项转移支付项目。</w:t>
      </w: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numPr>
          <w:ilvl w:val="0"/>
          <w:numId w:val="0"/>
        </w:numPr>
        <w:wordWrap/>
        <w:adjustRightInd/>
        <w:snapToGrid/>
        <w:spacing w:before="0" w:beforeAutospacing="0" w:after="0" w:afterAutospacing="0" w:line="560" w:lineRule="exact"/>
        <w:ind w:leftChars="200" w:right="0" w:rightChars="0"/>
        <w:jc w:val="both"/>
        <w:textAlignment w:val="auto"/>
        <w:rPr>
          <w:rFonts w:hint="default" w:ascii="黑体" w:hAnsi="黑体" w:eastAsia="黑体"/>
          <w:b/>
          <w:sz w:val="32"/>
          <w:szCs w:val="32"/>
          <w:lang w:val="en-US" w:eastAsia="zh-CN"/>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pStyle w:val="12"/>
        <w:widowControl/>
        <w:wordWrap/>
        <w:adjustRightInd/>
        <w:snapToGrid/>
        <w:spacing w:before="0" w:beforeAutospacing="0" w:after="0" w:afterAutospacing="0" w:line="560" w:lineRule="exact"/>
        <w:ind w:firstLine="880" w:firstLineChars="200"/>
        <w:jc w:val="center"/>
        <w:textAlignment w:val="auto"/>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第三部分 名词解释</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一、财政拨款收入：是指省级财政当年拨付的资金。</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二、事业收入：是指事业单位开展专业活动及辅助活动所取得的收入。</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三、其他收入：是指部门取得的除“财政拨款”、“事业收入”、“事业单位经营收入”等以外的收入。</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五、基本支出：是指为保障机构正常运转、完成日常工作任务所必需的开支，其内容包括人员经费和日常公用经费两部分。</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六、项目支出：是指在基本支出之外，为完成特定的行政工作任务或事业发展目标所发生的支出。</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附件：</w:t>
      </w:r>
    </w:p>
    <w:p>
      <w:pPr>
        <w:pStyle w:val="12"/>
        <w:widowControl/>
        <w:wordWrap/>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宋体" w:eastAsia="仿宋_GB2312" w:cs="Courier New"/>
          <w:sz w:val="32"/>
          <w:szCs w:val="32"/>
        </w:rPr>
        <w:t xml:space="preserve">     </w:t>
      </w:r>
      <w:r>
        <w:rPr>
          <w:rFonts w:hint="eastAsia" w:ascii="仿宋_GB2312" w:hAnsi="宋体" w:eastAsia="仿宋_GB2312" w:cs="Courier New"/>
          <w:sz w:val="32"/>
          <w:szCs w:val="32"/>
          <w:lang w:eastAsia="zh-CN"/>
        </w:rPr>
        <w:t>平顶山市石龙区市场监督管理局</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年部门预算表</w:t>
      </w:r>
    </w:p>
    <w:sectPr>
      <w:headerReference r:id="rId3" w:type="default"/>
      <w:footerReference r:id="rId4" w:type="default"/>
      <w:pgSz w:w="11906" w:h="16838"/>
      <w:pgMar w:top="1440" w:right="1531" w:bottom="1440" w:left="1587"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中粗雅宋简体">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rect id="4098"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355C74"/>
    <w:rsid w:val="07670979"/>
    <w:rsid w:val="099D0F59"/>
    <w:rsid w:val="1690143F"/>
    <w:rsid w:val="1F5C50EB"/>
    <w:rsid w:val="2147113C"/>
    <w:rsid w:val="27D63ECD"/>
    <w:rsid w:val="35C703A3"/>
    <w:rsid w:val="361C7D16"/>
    <w:rsid w:val="37247A7D"/>
    <w:rsid w:val="3731236C"/>
    <w:rsid w:val="3AAC381E"/>
    <w:rsid w:val="3CD547CA"/>
    <w:rsid w:val="400A56F1"/>
    <w:rsid w:val="402F467A"/>
    <w:rsid w:val="4A4E26A7"/>
    <w:rsid w:val="4F4257AC"/>
    <w:rsid w:val="507A0EE8"/>
    <w:rsid w:val="524A20C6"/>
    <w:rsid w:val="566A43E6"/>
    <w:rsid w:val="707E6836"/>
    <w:rsid w:val="74C564BC"/>
    <w:rsid w:val="779E70CD"/>
    <w:rsid w:val="786769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Calibri" w:hAnsi="Calibri" w:cs="Times New Roman"/>
      <w:sz w:val="18"/>
      <w:szCs w:val="18"/>
    </w:rPr>
  </w:style>
  <w:style w:type="paragraph" w:styleId="3">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666666"/>
      <w:u w:val="none"/>
    </w:rPr>
  </w:style>
  <w:style w:type="character" w:styleId="9">
    <w:name w:val="Hyperlink"/>
    <w:basedOn w:val="6"/>
    <w:qFormat/>
    <w:uiPriority w:val="0"/>
    <w:rPr>
      <w:color w:val="666666"/>
      <w:u w:val="none"/>
    </w:rPr>
  </w:style>
  <w:style w:type="character" w:customStyle="1" w:styleId="10">
    <w:name w:val="页脚 Char"/>
    <w:basedOn w:val="6"/>
    <w:link w:val="2"/>
    <w:semiHidden/>
    <w:qFormat/>
    <w:uiPriority w:val="0"/>
    <w:rPr>
      <w:rFonts w:ascii="Calibri" w:hAnsi="Calibri" w:cs="Times New Roman"/>
      <w:sz w:val="18"/>
      <w:szCs w:val="18"/>
    </w:rPr>
  </w:style>
  <w:style w:type="character" w:customStyle="1" w:styleId="11">
    <w:name w:val="页眉 Char"/>
    <w:basedOn w:val="6"/>
    <w:link w:val="3"/>
    <w:semiHidden/>
    <w:qFormat/>
    <w:uiPriority w:val="0"/>
    <w:rPr>
      <w:rFonts w:ascii="Calibri" w:hAnsi="Calibri" w:cs="Times New Roman"/>
      <w:sz w:val="18"/>
      <w:szCs w:val="18"/>
    </w:rPr>
  </w:style>
  <w:style w:type="paragraph" w:customStyle="1" w:styleId="12">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3">
    <w:name w:val="普通(网站)1"/>
    <w:basedOn w:val="1"/>
    <w:qFormat/>
    <w:uiPriority w:val="0"/>
    <w:pPr>
      <w:spacing w:before="100" w:beforeAutospacing="1" w:after="100" w:afterAutospacing="1"/>
      <w:jc w:val="left"/>
    </w:pPr>
    <w:rPr>
      <w:kern w:val="0"/>
      <w:sz w:val="24"/>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列出段落1"/>
    <w:basedOn w:val="1"/>
    <w:qFormat/>
    <w:uiPriority w:val="0"/>
    <w:pPr>
      <w:ind w:firstLine="420" w:firstLineChars="200"/>
    </w:pPr>
  </w:style>
  <w:style w:type="character" w:customStyle="1" w:styleId="16">
    <w:name w:val="font31"/>
    <w:basedOn w:val="6"/>
    <w:qFormat/>
    <w:uiPriority w:val="0"/>
    <w:rPr>
      <w:rFonts w:ascii="Arial" w:hAnsi="Arial" w:cs="Arial"/>
      <w:color w:val="000000"/>
      <w:sz w:val="16"/>
      <w:szCs w:val="16"/>
      <w:u w:val="none"/>
    </w:rPr>
  </w:style>
  <w:style w:type="character" w:customStyle="1" w:styleId="17">
    <w:name w:val="font01"/>
    <w:basedOn w:val="6"/>
    <w:qFormat/>
    <w:uiPriority w:val="0"/>
    <w:rPr>
      <w:rFonts w:ascii="Arial" w:hAnsi="Arial" w:cs="Arial"/>
      <w:color w:val="000000"/>
      <w:sz w:val="16"/>
      <w:szCs w:val="16"/>
      <w:u w:val="none"/>
    </w:rPr>
  </w:style>
  <w:style w:type="character" w:customStyle="1" w:styleId="18">
    <w:name w:val="font41"/>
    <w:basedOn w:val="6"/>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299</Words>
  <Characters>1709</Characters>
  <Lines>14</Lines>
  <Paragraphs>4</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wsj</dc:creator>
  <cp:lastModifiedBy>Administrator</cp:lastModifiedBy>
  <cp:lastPrinted>2017-09-27T18:54:00Z</cp:lastPrinted>
  <dcterms:modified xsi:type="dcterms:W3CDTF">2021-04-30T04:12:56Z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0FCB36A76ABC4483B54CD4938AA8CF55</vt:lpwstr>
  </property>
</Properties>
</file>